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9FE92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主题六学习任务3餐饮安全规范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2ADB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9791FB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授课学周</w:t>
            </w:r>
          </w:p>
        </w:tc>
        <w:tc>
          <w:tcPr>
            <w:tcW w:w="2852" w:type="dxa"/>
            <w:vAlign w:val="center"/>
          </w:tcPr>
          <w:p w14:paraId="7CFBE0C9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</w:rPr>
              <w:t>第18周</w:t>
            </w:r>
          </w:p>
        </w:tc>
        <w:tc>
          <w:tcPr>
            <w:tcW w:w="2307" w:type="dxa"/>
            <w:gridSpan w:val="2"/>
            <w:vAlign w:val="center"/>
          </w:tcPr>
          <w:p w14:paraId="1ADA4E1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67701D50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总第1-2课时</w:t>
            </w:r>
          </w:p>
        </w:tc>
      </w:tr>
      <w:tr w14:paraId="631F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7C53CB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2E988364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主题六学习任务3餐饮安全规范</w:t>
            </w:r>
          </w:p>
        </w:tc>
      </w:tr>
      <w:tr w14:paraId="74D0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C2F564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4616240C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教室</w:t>
            </w:r>
          </w:p>
        </w:tc>
        <w:tc>
          <w:tcPr>
            <w:tcW w:w="2307" w:type="dxa"/>
            <w:gridSpan w:val="2"/>
            <w:vAlign w:val="center"/>
          </w:tcPr>
          <w:p w14:paraId="3A7DCC7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1F18ED88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新授理论课.</w:t>
            </w:r>
          </w:p>
        </w:tc>
      </w:tr>
      <w:tr w14:paraId="2AFA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448FF7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3D1DFAAE">
            <w:pPr>
              <w:rPr>
                <w:rFonts w:ascii="楷体" w:hAnsi="楷体" w:eastAsia="楷体"/>
                <w:lang w:eastAsia="zh-Hans"/>
              </w:rPr>
            </w:pPr>
          </w:p>
        </w:tc>
      </w:tr>
      <w:tr w14:paraId="0262F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72AF8C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3E53336F">
            <w:pPr>
              <w:rPr>
                <w:sz w:val="28"/>
                <w:szCs w:val="28"/>
              </w:rPr>
            </w:pPr>
            <w:r>
              <w:rPr>
                <w:rFonts w:hint="eastAsia" w:ascii="楷体" w:hAnsi="楷体" w:eastAsia="楷体"/>
              </w:rPr>
              <w:t>本课主要是采用案例、小组讨论、微视频数字化教学资源、线上线下混合式等教学模式</w:t>
            </w:r>
          </w:p>
        </w:tc>
      </w:tr>
      <w:tr w14:paraId="04FE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7DA2468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教学目标</w:t>
            </w:r>
          </w:p>
        </w:tc>
        <w:tc>
          <w:tcPr>
            <w:tcW w:w="7018" w:type="dxa"/>
            <w:gridSpan w:val="5"/>
            <w:vAlign w:val="center"/>
          </w:tcPr>
          <w:p w14:paraId="468A654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知识目标：1.掌握餐饮部常见事故的预防与处置</w:t>
            </w:r>
          </w:p>
          <w:p w14:paraId="27860FE9">
            <w:pPr>
              <w:snapToGrid w:val="0"/>
              <w:spacing w:line="320" w:lineRule="exact"/>
              <w:ind w:left="1260" w:leftChars="500" w:hanging="210" w:hangingChars="1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2.掌握食物中毒、火灾的预防与应急预案</w:t>
            </w:r>
          </w:p>
          <w:p w14:paraId="6A295FB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能力目标：1.能预防并处理餐饮部常见事故</w:t>
            </w:r>
          </w:p>
          <w:p w14:paraId="46B9723F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2.会根据应急预案处理食物中毒和火灾</w:t>
            </w:r>
          </w:p>
          <w:p w14:paraId="515BB87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素质目标：1.提高对客服务的意识</w:t>
            </w:r>
          </w:p>
          <w:p w14:paraId="46DA2E25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2.树立提供优质服务的理念，热爱餐饮服务行业</w:t>
            </w:r>
          </w:p>
        </w:tc>
      </w:tr>
      <w:tr w14:paraId="1AF1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754A82D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教学重点</w:t>
            </w:r>
          </w:p>
        </w:tc>
        <w:tc>
          <w:tcPr>
            <w:tcW w:w="7018" w:type="dxa"/>
            <w:gridSpan w:val="5"/>
            <w:vAlign w:val="center"/>
          </w:tcPr>
          <w:p w14:paraId="3F1ACE58">
            <w:pPr>
              <w:snapToGrid w:val="0"/>
              <w:spacing w:line="320" w:lineRule="exact"/>
              <w:ind w:left="1260" w:hanging="1260" w:hangingChars="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餐饮部常见事故的预防与处置</w:t>
            </w:r>
          </w:p>
        </w:tc>
      </w:tr>
      <w:tr w14:paraId="2AE8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17A5C14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教学难点</w:t>
            </w:r>
          </w:p>
        </w:tc>
        <w:tc>
          <w:tcPr>
            <w:tcW w:w="7018" w:type="dxa"/>
            <w:gridSpan w:val="5"/>
            <w:vAlign w:val="center"/>
          </w:tcPr>
          <w:p w14:paraId="03BFD409">
            <w:pPr>
              <w:snapToGrid w:val="0"/>
              <w:spacing w:line="320" w:lineRule="exact"/>
              <w:ind w:left="1260" w:hanging="1260" w:hangingChars="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根据应急预案处理食物中毒和火灾</w:t>
            </w:r>
          </w:p>
        </w:tc>
      </w:tr>
      <w:tr w14:paraId="6EA7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194D03E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16C6CCEF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1.树立良好的职业规范和职业道德</w:t>
            </w:r>
          </w:p>
          <w:p w14:paraId="32FD3647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2.树立爱岗敬业精神和服务意识。</w:t>
            </w:r>
          </w:p>
          <w:p w14:paraId="059F4124">
            <w:r>
              <w:rPr>
                <w:rFonts w:hint="eastAsia" w:ascii="楷体" w:hAnsi="楷体" w:eastAsia="楷体"/>
              </w:rPr>
              <w:t>3.小组讨论及竞赛，激发学生的学习兴趣，培养学生善于观察能力；培养团结合作精神。</w:t>
            </w:r>
          </w:p>
        </w:tc>
      </w:tr>
      <w:tr w14:paraId="5730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5B89FC6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教学资源</w:t>
            </w:r>
          </w:p>
        </w:tc>
        <w:tc>
          <w:tcPr>
            <w:tcW w:w="7018" w:type="dxa"/>
            <w:gridSpan w:val="5"/>
            <w:vAlign w:val="center"/>
          </w:tcPr>
          <w:p w14:paraId="10CAFF9C">
            <w:pPr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教案、微课资源、案例</w:t>
            </w:r>
          </w:p>
        </w:tc>
      </w:tr>
      <w:tr w14:paraId="1133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68C0591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3F6B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1544E4F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75C375EB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39EF455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35C4361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7E5C111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6A2EDC2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4105C29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24B0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Align w:val="center"/>
          </w:tcPr>
          <w:p w14:paraId="3BDBAAD7">
            <w:pPr>
              <w:jc w:val="center"/>
              <w:rPr>
                <w:rFonts w:ascii="楷体" w:hAnsi="楷体" w:eastAsia="楷体"/>
              </w:rPr>
            </w:pPr>
          </w:p>
          <w:p w14:paraId="008FBDFC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79B877C7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08AD88C7">
            <w:pPr>
              <w:pStyle w:val="15"/>
              <w:snapToGrid w:val="0"/>
              <w:spacing w:line="360" w:lineRule="auto"/>
              <w:ind w:firstLine="0" w:firstLineChars="0"/>
            </w:pPr>
            <w:r>
              <w:rPr>
                <w:rFonts w:hint="eastAsia" w:ascii="楷体" w:hAnsi="楷体" w:eastAsia="楷体" w:cstheme="minorBidi"/>
              </w:rPr>
              <w:t>搜集酒店常见的安全事故有哪些？联系实际你作为服务员应怎样处理？</w:t>
            </w:r>
          </w:p>
        </w:tc>
        <w:tc>
          <w:tcPr>
            <w:tcW w:w="1370" w:type="dxa"/>
            <w:vAlign w:val="center"/>
          </w:tcPr>
          <w:p w14:paraId="7A7595AE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  <w:p w14:paraId="01C2562A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2E63B0E0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56E6C11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38CD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6FF76C5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2898285F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6F645328">
            <w:pPr>
              <w:ind w:firstLine="420" w:firstLineChars="2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检查并公布作业完成情况</w:t>
            </w:r>
          </w:p>
        </w:tc>
        <w:tc>
          <w:tcPr>
            <w:tcW w:w="1370" w:type="dxa"/>
            <w:vAlign w:val="center"/>
          </w:tcPr>
          <w:p w14:paraId="735B2D45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041F587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学生展示预习成果，并由学生自评。</w:t>
            </w:r>
          </w:p>
        </w:tc>
        <w:tc>
          <w:tcPr>
            <w:tcW w:w="936" w:type="dxa"/>
            <w:vAlign w:val="center"/>
          </w:tcPr>
          <w:p w14:paraId="668E6A5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0F0A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8EC543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2B1ABEF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4C3C39F9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展示各组所整理的餐饮常见安全事故及处理措施</w:t>
            </w:r>
          </w:p>
        </w:tc>
        <w:tc>
          <w:tcPr>
            <w:tcW w:w="1370" w:type="dxa"/>
            <w:vAlign w:val="center"/>
          </w:tcPr>
          <w:p w14:paraId="0251CCC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087A6A9E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568CA131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学生首先分组自行分析内容，最后由每组派出代表回答，给与适当加分。</w:t>
            </w:r>
          </w:p>
        </w:tc>
        <w:tc>
          <w:tcPr>
            <w:tcW w:w="936" w:type="dxa"/>
            <w:vAlign w:val="center"/>
          </w:tcPr>
          <w:p w14:paraId="081C881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4FC3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6D5A1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A77637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DB0A8D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9CF5B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C8534B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208CE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DA866B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95836E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89B5BB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6B7CF45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44BC474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2277BC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DFE140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0B71263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（20min）</w:t>
            </w:r>
          </w:p>
          <w:p w14:paraId="0872C59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4B6F8C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80EC32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B8F4B3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AA349D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48E57D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50BB57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20F2EA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36AD8C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0A0D3A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5CBC28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5B11A5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7D8F72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C36397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C93368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1B7C3C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E4BC7A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260DFF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B9D68C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F72DB4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281258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E68ED1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20C4B8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95359A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FA176C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5EABAF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AD6EB6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6941B1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AAB064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26E56D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FA443A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4145B9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4C8EB41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449586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B1448B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E65216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E0AD101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06C19A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26D1DF1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682997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57EE60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A62CC3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9F7E72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B9636A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E525CE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42E0D2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8A82F7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57DCA4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80AF10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64A32B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C2B610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9F8673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628D1F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3E713B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73C8B6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8114EC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878A02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C9FA0C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E7A8CF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D2BB88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303D4D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0477C0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7C43CF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56B6571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9A224A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8E3F90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23D005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58896D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7BA2E3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70E97D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A6ECAB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71F1DF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A8BCA4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C477CB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251662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ABA621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301B96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394A92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A74003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BB4FF9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436B58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F1341B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36D083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858940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C3E0C6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4D5B18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173608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0633E6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43BE11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C94F5D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8E318C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D684CB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84DC2C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58F971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A18098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0C0322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5F19DC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9C1356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90CDDD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05C993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57F383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E568CA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44D16A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D03589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535A89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D95A00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89331E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00C8CF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300C27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F12189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B6C6EC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2B6E91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6F90EF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118367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46EAA2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DFD176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751FBC1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34C4B1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D110D7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399C062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（20min）</w:t>
            </w:r>
          </w:p>
          <w:p w14:paraId="55CDD15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9DA11E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26D980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D71854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824635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04C85E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1DABC6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99E90A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076D2E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0F59E9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8B2B80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90A87B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0D2CA4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72FCED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8735F3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53E199F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5987B7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16F50D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85C87A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6FECB4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10DD62E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46E217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C4E4D8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BAA74F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6347252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70B26C2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3807CFA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24F3A92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0FD2AA8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  <w:p w14:paraId="48DF6CD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6EADE4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F07E0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2F1D71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DB02CA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754214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1DBD8D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5CA91C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AB656E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7F0D7E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09F9BC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49AFAD0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bookmarkStart w:id="3" w:name="_GoBack"/>
            <w:bookmarkEnd w:id="3"/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6D7C568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（20min）</w:t>
            </w:r>
          </w:p>
          <w:p w14:paraId="14DA38B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06B554B0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bookmarkStart w:id="0" w:name="_Toc2024"/>
            <w:r>
              <w:rPr>
                <w:rFonts w:hint="eastAsia" w:ascii="楷体" w:hAnsi="楷体" w:eastAsia="楷体"/>
                <w:b/>
                <w:bCs/>
              </w:rPr>
              <w:t>一、餐饮部常见事故的预防与处理</w:t>
            </w:r>
            <w:bookmarkEnd w:id="0"/>
          </w:p>
          <w:p w14:paraId="05714582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（一）餐厅宾客贵重物品失窃</w:t>
            </w:r>
          </w:p>
          <w:p w14:paraId="4386FF69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1.加强员工安全培训，提高防范意识。</w:t>
            </w:r>
          </w:p>
          <w:p w14:paraId="08DB39A9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2.提醒客人保管好自己的贵重物品。</w:t>
            </w:r>
          </w:p>
          <w:p w14:paraId="774B996B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3.用椅套套住客人放在椅背上的衣服和手提包。</w:t>
            </w:r>
          </w:p>
          <w:p w14:paraId="14E20FA0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4.服务员注意观察不同客人的心理特点。在餐厅不点餐又东张西望的可疑客人服务员要多关注，必要时报告安全部。</w:t>
            </w:r>
          </w:p>
          <w:p w14:paraId="2F2D3592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5.餐厅显眼位置安装监控系统。</w:t>
            </w:r>
          </w:p>
          <w:p w14:paraId="5D02514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</w:rPr>
              <w:t>（二）酒店物品失窃</w:t>
            </w:r>
          </w:p>
          <w:p w14:paraId="168DBD39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1.仓库环境的防护。</w:t>
            </w:r>
          </w:p>
          <w:p w14:paraId="2FD74EC9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2.钥匙的管理。</w:t>
            </w:r>
          </w:p>
          <w:p w14:paraId="77BB08DA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3.厨房用具管理。</w:t>
            </w:r>
          </w:p>
          <w:p w14:paraId="14935E84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4.剩余的食品原料管理。</w:t>
            </w:r>
          </w:p>
          <w:p w14:paraId="44EA9A8F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5.加强门卫监督。</w:t>
            </w:r>
          </w:p>
          <w:p w14:paraId="25B6E64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</w:rPr>
              <w:t>（三）用具割伤</w:t>
            </w:r>
          </w:p>
          <w:p w14:paraId="1F0EAC8F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1.在使用设备前，必须先明确设备装置是否到位。</w:t>
            </w:r>
          </w:p>
          <w:p w14:paraId="405ECEC5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2.在使用各种刀具和设备时，注意力要集中，方法要正确，禁止拿着刀具打闹。</w:t>
            </w:r>
          </w:p>
          <w:p w14:paraId="2C70F4FE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3.清洗刀具时，要讲究方法。</w:t>
            </w:r>
          </w:p>
          <w:p w14:paraId="66CCEBF8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4.厨房内如有破碎的玻璃器具和陶瓷器皿，要及时用扫帚处理掉，不要用手去捡。</w:t>
            </w:r>
          </w:p>
          <w:p w14:paraId="274D024C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5.发现工作区域存在安全隐患时，要及时维修。</w:t>
            </w:r>
          </w:p>
          <w:p w14:paraId="1AD364E3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应急处理：如果发生伤情，立即用厨房急救箱包扎伤口，并视伤势轻重决定是否送医院。</w:t>
            </w:r>
          </w:p>
          <w:p w14:paraId="7A93AA3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</w:rPr>
              <w:t>（四）跌伤或砸伤</w:t>
            </w:r>
          </w:p>
          <w:p w14:paraId="02327F20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1.地面要采用防滑地砖，保持清洁、干燥。</w:t>
            </w:r>
          </w:p>
          <w:p w14:paraId="48C17367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2.所有员工的工作鞋要有防滑性能，不得穿凉鞋、拖鞋。</w:t>
            </w:r>
          </w:p>
          <w:p w14:paraId="06152415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3.所有通道保持畅通和工作区域内及时清理障碍物。</w:t>
            </w:r>
          </w:p>
          <w:p w14:paraId="58878E19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4.不要把较重的箱子、盒子等大件物品放在可能掉落的地方，更不能放在高处。</w:t>
            </w:r>
          </w:p>
          <w:p w14:paraId="79F7B021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5.员工来回行走路线要明确，尽量避免交叉相撞等。</w:t>
            </w:r>
          </w:p>
          <w:p w14:paraId="0C842441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应急处理：如果发生伤情，立即用厨房或餐厅急救箱包扎伤口，并视伤势轻重决定是否送医院。</w:t>
            </w:r>
          </w:p>
          <w:p w14:paraId="40C790C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</w:rPr>
              <w:t>（五）扭伤</w:t>
            </w:r>
          </w:p>
          <w:p w14:paraId="2BCA37F5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1.搬运重物借助于载重设备或搬运工具。</w:t>
            </w:r>
          </w:p>
          <w:p w14:paraId="3922B45B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2.抬举重物时，背部要挺直，膝盖弯曲，要用腿力来支撑，以防扭伤腰部。</w:t>
            </w:r>
          </w:p>
          <w:p w14:paraId="51CACCB9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3.举重物时要缓缓举起，使所举物件紧靠身体，不要骤然猛举。</w:t>
            </w:r>
          </w:p>
          <w:p w14:paraId="34B5346E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4.上下楼梯要注意安全，防止脚踝扭伤。</w:t>
            </w:r>
          </w:p>
          <w:p w14:paraId="5D86DDC7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5.餐厅工作人员应将转盘竖立搬，用臂力和腿力抬起转盘，并将转盘滚放在餐台中间。</w:t>
            </w:r>
          </w:p>
          <w:p w14:paraId="72F337D7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（六）烧烫伤</w:t>
            </w:r>
          </w:p>
          <w:p w14:paraId="52069C7B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具体预防措施是：</w:t>
            </w:r>
          </w:p>
          <w:p w14:paraId="4C949063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1.餐厅服务员在服务铁板类、明炉和火锅时，应严格按照规程操作，并对客人做好提醒。</w:t>
            </w:r>
          </w:p>
          <w:p w14:paraId="0FE2208E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2.厨房工作人员在清理加热设备时，要先冷却后再进行。</w:t>
            </w:r>
          </w:p>
          <w:p w14:paraId="5F3D5A04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3.工作人员在拿取温度较高的烤盘、铁锅或其他用具时，应戴上防烫手套。</w:t>
            </w:r>
          </w:p>
          <w:p w14:paraId="7FF91E60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4.在使用油锅或油炸炉时，特别是油温较高时，不能有水滴入，不能一次投入过多的原料，否则热油飞溅，极易烫伤。</w:t>
            </w:r>
          </w:p>
          <w:p w14:paraId="47B81989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5.在炉灶上操作时，应注意用具的摆放.炒锅、手勺、漏勺、铁筷等用具如果摆放不当极易被炉火烤烫，容易造成烫伤。</w:t>
            </w:r>
          </w:p>
          <w:p w14:paraId="2F99DE25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应急处理：如果发生烫伤，立即用冷处理并用厨房急救箱的烫伤药膏涂抹，并视伤势轻重决定是否送医。</w:t>
            </w:r>
          </w:p>
          <w:p w14:paraId="7A87FEB9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（七）电击伤</w:t>
            </w:r>
          </w:p>
          <w:p w14:paraId="100A9BCE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具体预防措施是：</w:t>
            </w:r>
          </w:p>
          <w:p w14:paraId="4EB40000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1.使用机电设备前，首先要了解其安全操作规程，并按规程操作。</w:t>
            </w:r>
          </w:p>
          <w:p w14:paraId="27ED0ECD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2.设备使用过程中如发现有异常现象时，应立即停止使用。</w:t>
            </w:r>
          </w:p>
          <w:p w14:paraId="4609B595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3.电器设备必须装有安全的接地线；不得随意拆卸。</w:t>
            </w:r>
          </w:p>
          <w:p w14:paraId="222D76E0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4.清洁设备前首先要切断电源。</w:t>
            </w:r>
          </w:p>
          <w:p w14:paraId="19A4A491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5.使用电设备后，应立即关掉电源。</w:t>
            </w:r>
          </w:p>
          <w:p w14:paraId="49A9BC45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应急处理：如果发生电击伤或触电，应立即切断电源并呼救，观察是否有呼吸和心跳后再决定是否采用“心肺复苏术”施救并送医院。</w:t>
            </w:r>
          </w:p>
          <w:p w14:paraId="255A9363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（八）停水、停电及停气的处理</w:t>
            </w:r>
          </w:p>
          <w:p w14:paraId="4F790F20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1.饭店工程部应视需要，安排专业维修人员分别前往解救电梯内被困乘客；前往配电房启动应急发电机以保障照明和消防设施设备用电。</w:t>
            </w:r>
          </w:p>
          <w:p w14:paraId="56C390B5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 xml:space="preserve">2.保安部应重点关注监控系统、消防系统等运转情况，控制现场，防止发生混乱。 </w:t>
            </w:r>
          </w:p>
          <w:p w14:paraId="5AFB242E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3.餐饮部应要求所有服务员及厨师保持冷静，并稳定就餐客人情绪，采取应急照明措施。</w:t>
            </w:r>
          </w:p>
          <w:p w14:paraId="7A301FFD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4.餐厅及时制定对策，调整菜单，提供易于制作的菜肴。</w:t>
            </w:r>
          </w:p>
          <w:p w14:paraId="110762C5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5.管理人员应在现场进行督导，及时向饭店突发事件应急处置指挥机构反馈情况，服从统一指挥。</w:t>
            </w:r>
          </w:p>
        </w:tc>
        <w:tc>
          <w:tcPr>
            <w:tcW w:w="1370" w:type="dxa"/>
            <w:vAlign w:val="center"/>
          </w:tcPr>
          <w:p w14:paraId="0C0C217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教师要求学生熟练掌握的</w:t>
            </w:r>
            <w:r>
              <w:rPr>
                <w:rFonts w:hint="eastAsia" w:ascii="楷体" w:hAnsi="楷体" w:eastAsia="楷体"/>
              </w:rPr>
              <w:t>餐饮常见事故处理的基础知识</w:t>
            </w:r>
          </w:p>
        </w:tc>
        <w:tc>
          <w:tcPr>
            <w:tcW w:w="1860" w:type="dxa"/>
            <w:gridSpan w:val="2"/>
            <w:vAlign w:val="center"/>
          </w:tcPr>
          <w:p w14:paraId="3807475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与老师互动，解答疑问。</w:t>
            </w:r>
          </w:p>
        </w:tc>
        <w:tc>
          <w:tcPr>
            <w:tcW w:w="936" w:type="dxa"/>
            <w:vAlign w:val="center"/>
          </w:tcPr>
          <w:p w14:paraId="51A4F083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6CB6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79802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4276E6AE">
            <w:pPr>
              <w:snapToGrid w:val="0"/>
              <w:spacing w:line="320" w:lineRule="exact"/>
              <w:rPr>
                <w:rFonts w:ascii="楷体" w:hAnsi="楷体" w:eastAsia="楷体"/>
                <w:b/>
              </w:rPr>
            </w:pPr>
            <w:bookmarkStart w:id="1" w:name="_Toc16727"/>
            <w:r>
              <w:rPr>
                <w:rFonts w:hint="eastAsia" w:ascii="楷体" w:hAnsi="楷体" w:eastAsia="楷体"/>
                <w:b/>
              </w:rPr>
              <w:t>二、食物中毒的预防与应急预案</w:t>
            </w:r>
            <w:bookmarkEnd w:id="1"/>
          </w:p>
          <w:p w14:paraId="66FE35B4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（一）食物中毒的种类</w:t>
            </w:r>
          </w:p>
          <w:p w14:paraId="25466A8B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1.细菌性食物中毒</w:t>
            </w:r>
          </w:p>
          <w:p w14:paraId="1E78F9B0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预防方法：</w:t>
            </w:r>
          </w:p>
          <w:p w14:paraId="0C9EDDA0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（1）严禁食用病死的家畜禽肉。</w:t>
            </w:r>
          </w:p>
          <w:p w14:paraId="558A01B8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（2）严格执行生熟食品分开存放制度。</w:t>
            </w:r>
          </w:p>
          <w:p w14:paraId="63002665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（3）加工场所应符合由生到熟的过程，不能交叉污染。</w:t>
            </w:r>
          </w:p>
          <w:p w14:paraId="1DAA0B60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（4）禁止活禽畜进人厨房或食品加工室。</w:t>
            </w:r>
          </w:p>
          <w:p w14:paraId="15CA6F46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（5）注意环境卫生和个人卫生。</w:t>
            </w:r>
          </w:p>
          <w:p w14:paraId="411AD373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2.真菌毒素食物中毒</w:t>
            </w:r>
          </w:p>
          <w:p w14:paraId="205FD34A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预防方法：</w:t>
            </w:r>
          </w:p>
          <w:p w14:paraId="3B0ECABC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(1)不食霉变食物。</w:t>
            </w:r>
          </w:p>
          <w:p w14:paraId="593C8D72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(2)注意粮食的防潮防霉。</w:t>
            </w:r>
          </w:p>
          <w:p w14:paraId="4235E20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</w:rPr>
              <w:t>3.化学性食物中毒</w:t>
            </w:r>
          </w:p>
          <w:p w14:paraId="5A20ADC1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预防方法：</w:t>
            </w:r>
          </w:p>
          <w:p w14:paraId="42F20885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（1）食品生产加工过程中使用的添加剂必须符合卫生质量要求，添加量要严格控制在规定标准内。</w:t>
            </w:r>
          </w:p>
          <w:p w14:paraId="16F0E8D9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（2）严禁食用因农药毒死的牲畜和家禽。</w:t>
            </w:r>
          </w:p>
          <w:p w14:paraId="61C92AB7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（3）禁止在镀锌容器中盛放、煮制、加工酸性食品，尽量采用不锈钢制品。</w:t>
            </w:r>
          </w:p>
          <w:p w14:paraId="3696B574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（4）蔬菜注意保鲜，防止腐烂变质。</w:t>
            </w:r>
          </w:p>
          <w:p w14:paraId="6544185E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（5）加强硝酸盐和亚硝酸的管理，不食用剩菜，腌菜必须腌透才能食用。</w:t>
            </w:r>
          </w:p>
          <w:p w14:paraId="290B4CF5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4.有毒动植物食物中毒</w:t>
            </w:r>
          </w:p>
          <w:p w14:paraId="52A7A2AF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预防方法：</w:t>
            </w:r>
          </w:p>
          <w:p w14:paraId="40F75D0C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(1)禁止食用河豚。</w:t>
            </w:r>
          </w:p>
          <w:p w14:paraId="5DCEA16B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(2)提高鉴别有毒蘑菇的能力，防止误食。</w:t>
            </w:r>
          </w:p>
          <w:p w14:paraId="14FE6F5A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(3)青皮红肉的鱼类（鲐鱼、鲱鱼等）容易分解产生大量组胺，应及时冷藏和加工，保持较高的新鲜度。</w:t>
            </w:r>
          </w:p>
          <w:p w14:paraId="0EE30CBC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(4)食用油与非食用油应分别存放，以免误食。</w:t>
            </w:r>
          </w:p>
          <w:p w14:paraId="5C4F0603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(5)马铃薯应放在干燥阴凉处，避免日光照射，防止发芽；鲜黄花菜和扁豆应炒煮熟透后食用。</w:t>
            </w:r>
          </w:p>
          <w:p w14:paraId="2FB11FA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</w:rPr>
              <w:t>（二）食物中毒的应急预案</w:t>
            </w:r>
          </w:p>
          <w:p w14:paraId="1E2C9837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1.首先应了解中毒者人数、症状程度等基本情况，总机或危机应急中心应立即向饭店总经理等高层领导报告，按指示处理。</w:t>
            </w:r>
          </w:p>
          <w:p w14:paraId="6F0BFEDB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2.安排饭店工作人员应妥善安置中毒者，保护好现场并将食物留样。</w:t>
            </w:r>
          </w:p>
          <w:p w14:paraId="6128D13B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3.安排医务人员携带急救药品和器材赶往现场，实施必要的紧急抢救，并根据具体情况决定是否将中毒者送往医院抢救。</w:t>
            </w:r>
          </w:p>
          <w:p w14:paraId="4FAE9B1F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4.安排食品化验员了解详细情况，找出可能污染的食品及餐具，并对病人的呕吐物等加以封存，对食物取样化验。</w:t>
            </w:r>
          </w:p>
          <w:p w14:paraId="0E9BE639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5.饭店安保部应派人做好现场保护工作，协助医护人员抢救中毒者。</w:t>
            </w:r>
          </w:p>
        </w:tc>
        <w:tc>
          <w:tcPr>
            <w:tcW w:w="1370" w:type="dxa"/>
            <w:vAlign w:val="center"/>
          </w:tcPr>
          <w:p w14:paraId="242E1D5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教师要求学生熟练掌握食物中毒的预防基础知识</w:t>
            </w:r>
          </w:p>
        </w:tc>
        <w:tc>
          <w:tcPr>
            <w:tcW w:w="1860" w:type="dxa"/>
            <w:gridSpan w:val="2"/>
            <w:vAlign w:val="center"/>
          </w:tcPr>
          <w:p w14:paraId="577894B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学生交流，与老师互动，解答疑问。结合理论进行案列分析。</w:t>
            </w:r>
          </w:p>
        </w:tc>
        <w:tc>
          <w:tcPr>
            <w:tcW w:w="936" w:type="dxa"/>
            <w:vAlign w:val="center"/>
          </w:tcPr>
          <w:p w14:paraId="7A1073D9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提高学生对知识的记忆以及对出现的问题得以改正。</w:t>
            </w:r>
          </w:p>
        </w:tc>
      </w:tr>
      <w:tr w14:paraId="35A2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5FCF3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21FE0CA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/>
              </w:rPr>
            </w:pPr>
            <w:bookmarkStart w:id="2" w:name="_Toc16632"/>
            <w:r>
              <w:rPr>
                <w:rFonts w:hint="eastAsia" w:ascii="楷体" w:hAnsi="楷体" w:eastAsia="楷体"/>
              </w:rPr>
              <w:t>三、</w:t>
            </w:r>
            <w:r>
              <w:rPr>
                <w:rFonts w:hint="eastAsia" w:ascii="楷体" w:hAnsi="楷体" w:eastAsia="楷体"/>
                <w:b/>
              </w:rPr>
              <w:t>餐饮部火灾的预防与应急预案</w:t>
            </w:r>
            <w:bookmarkEnd w:id="2"/>
          </w:p>
          <w:p w14:paraId="66E095D4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（一）火灾预防措施</w:t>
            </w:r>
          </w:p>
          <w:p w14:paraId="53CE0D0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1.各种电动设备的安装必须符合防火安全要求，严禁违规操作。</w:t>
            </w:r>
          </w:p>
          <w:p w14:paraId="06A66193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2.楼层厨房不得使用瓶装液化石油气。</w:t>
            </w:r>
          </w:p>
          <w:p w14:paraId="6C685BA0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3.炉灶要保持清洁，排油烟罩要定期擦洗、保养，保证设备正常运转。</w:t>
            </w:r>
          </w:p>
          <w:p w14:paraId="14CAF14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4.正在使用火源的操作人员，不得随意离开自己的岗位，不得粗心大意，以防发生意外。</w:t>
            </w:r>
          </w:p>
          <w:p w14:paraId="17D61BB6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5.酒店必须备有足够的灭火设备，要在固定位置存放，所有员工学会正确使用。</w:t>
            </w:r>
          </w:p>
          <w:p w14:paraId="2F3CF2F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（二）火灾的应急预案</w:t>
            </w:r>
          </w:p>
          <w:p w14:paraId="650456B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1.任何员工若发现有异常的燃烧味、烟雾或火焰等迹象，应在第一时间报告饭店消防控制中心。</w:t>
            </w:r>
          </w:p>
          <w:p w14:paraId="731E4F08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2.应立即关闭所有厨房明火，安抚就餐客人。疏散就餐客人和员工到建筑物外指定的安全区域。</w:t>
            </w:r>
          </w:p>
          <w:p w14:paraId="77BB1E1E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3.安保部除了现场扑救和人员疏散工作外，还要维持店外秩序，保障消防车通道顺畅，阻止无关人员进人饭店。</w:t>
            </w:r>
          </w:p>
          <w:p w14:paraId="7C55EBB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4.工程部负责根据火情关闭空调、停气、断电，启动应急发电机等，确保消防电梯正常使用，解救电梯内被困乘客，保证喷淋泵和消火栓泵供水等。</w:t>
            </w:r>
          </w:p>
          <w:p w14:paraId="2C809BC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5.前厅部应通知电话总机确保店内通信畅通，打印住店客人名单，清除门前障碍。</w:t>
            </w:r>
          </w:p>
          <w:p w14:paraId="79A3E3C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6.客房部必要时统计各楼层客人人数，做好疏散工作等。</w:t>
            </w:r>
          </w:p>
          <w:p w14:paraId="11722D5E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7.应及时通知医务室做好救护伤员的准备。</w:t>
            </w:r>
          </w:p>
          <w:p w14:paraId="73A97923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8.财务部应收集和保管好现金、账目和重要票据等，通知电脑机房做好重要资料的备份和保管工作等。</w:t>
            </w:r>
          </w:p>
          <w:p w14:paraId="190CD63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（三）</w:t>
            </w:r>
            <w:r>
              <w:rPr>
                <w:rFonts w:hint="eastAsia" w:ascii="楷体" w:hAnsi="楷体" w:eastAsia="楷体"/>
                <w:b/>
                <w:bCs/>
              </w:rPr>
              <w:t>灭火的方法</w:t>
            </w:r>
          </w:p>
          <w:p w14:paraId="319BBB6D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1.灭火的基本方法</w:t>
            </w:r>
          </w:p>
          <w:p w14:paraId="2BE3575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（1）隔离法。就是将可燃物隔离开，燃烧由于没有可燃物，火就会自然熄灭。</w:t>
            </w:r>
          </w:p>
          <w:p w14:paraId="56F864E8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（2）窒息法。就是阻止空气流入燃烧区，即切断燃烧中氧的供给，使燃烧因得不到足够的氧而熄灭。</w:t>
            </w:r>
          </w:p>
          <w:p w14:paraId="507465F1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（3）冷却法。就是将燃烧的温度降到燃点以下。具体做法是将水或灭火物质直接喷射到燃烧物上，使燃烧物温度降低，火苗熄灭。</w:t>
            </w:r>
          </w:p>
          <w:p w14:paraId="1C22A2E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（4）抑制法。使用化学灭火剂抑制燃烧，使燃烧终止。</w:t>
            </w:r>
          </w:p>
          <w:p w14:paraId="7E93C74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3.常用的灭火器材及使用方法</w:t>
            </w:r>
          </w:p>
          <w:p w14:paraId="59F6D76D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（1）二氧化碳灭火器。</w:t>
            </w:r>
          </w:p>
          <w:p w14:paraId="12B9948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①手动开启式灭火器在使用时应先拔去保险销，一手握紧喷简把手，对准燃烧物，另一手将鸭舌往下压，二氧化碳即由喇叭口喷出，不用时将手放松即行关闭。</w:t>
            </w:r>
          </w:p>
          <w:p w14:paraId="2417C0E3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②螺旋开启式的灭火器在使用时先将铅封去掉，一手握住喷筒把手，对准燃烧物，另一手将旋钮朝顺时针方向旋转开启，二氧化碳气体即行喷出</w:t>
            </w:r>
          </w:p>
          <w:p w14:paraId="657831D6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（2）干粉灭火器。</w:t>
            </w:r>
          </w:p>
          <w:p w14:paraId="763B0C53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在使用干粉灭火器时，拔出保险销，一手拿着喷嘴胶管，对准燃烧物体，另一手握住提把，拉起提环，粉雾即喷出。</w:t>
            </w:r>
          </w:p>
          <w:p w14:paraId="2BABBB3D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（3）泡沫灭火器。泡沫灭火器主要用来扑灭油类、可燃液体和可燃固体的初起火灾。此灭火器不宜扑灭可溶性液体的火灾。</w:t>
            </w:r>
          </w:p>
          <w:p w14:paraId="5ED7449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（4）“1211”灭火器。</w:t>
            </w:r>
          </w:p>
          <w:p w14:paraId="2B5966D9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可用于油类、化工原料、易燃液体、精密设备、电器设备等燃烧物质的灭火，但不适合于活泼金属、金属氢化物及本身是氧化剂的燃烧物质的火灾。</w:t>
            </w:r>
          </w:p>
          <w:p w14:paraId="280A0D58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5）水基灭火器。水基型(水雾)灭火器在喷射后，成水雾状，瞬间蒸发火场大量的热量，迅速降低火场温度，抑制热辐射，表面活性剂在可燃物表面迅速形成一层水膜，隔离氧气，降温、隔离双重作用，同时参与灭火，从而达到快速灭火的目的。</w:t>
            </w:r>
          </w:p>
        </w:tc>
        <w:tc>
          <w:tcPr>
            <w:tcW w:w="1370" w:type="dxa"/>
          </w:tcPr>
          <w:p w14:paraId="6AE4AEC0">
            <w:pPr>
              <w:rPr>
                <w:rFonts w:ascii="楷体" w:hAnsi="楷体" w:eastAsia="楷体"/>
                <w:bCs/>
              </w:rPr>
            </w:pPr>
          </w:p>
          <w:p w14:paraId="0A2F7C05">
            <w:pPr>
              <w:rPr>
                <w:rFonts w:ascii="楷体" w:hAnsi="楷体" w:eastAsia="楷体"/>
                <w:bCs/>
              </w:rPr>
            </w:pPr>
          </w:p>
          <w:p w14:paraId="0F02F441">
            <w:pPr>
              <w:rPr>
                <w:rFonts w:ascii="楷体" w:hAnsi="楷体" w:eastAsia="楷体"/>
                <w:bCs/>
              </w:rPr>
            </w:pPr>
          </w:p>
          <w:p w14:paraId="662E61C2">
            <w:pPr>
              <w:rPr>
                <w:rFonts w:ascii="楷体" w:hAnsi="楷体" w:eastAsia="楷体"/>
                <w:bCs/>
              </w:rPr>
            </w:pPr>
          </w:p>
          <w:p w14:paraId="3C9A25A7">
            <w:pPr>
              <w:rPr>
                <w:rFonts w:ascii="楷体" w:hAnsi="楷体" w:eastAsia="楷体"/>
                <w:bCs/>
              </w:rPr>
            </w:pPr>
          </w:p>
          <w:p w14:paraId="2616D032">
            <w:pPr>
              <w:rPr>
                <w:rFonts w:ascii="楷体" w:hAnsi="楷体" w:eastAsia="楷体"/>
                <w:bCs/>
              </w:rPr>
            </w:pPr>
          </w:p>
          <w:p w14:paraId="3D3969CA">
            <w:pPr>
              <w:rPr>
                <w:rFonts w:ascii="楷体" w:hAnsi="楷体" w:eastAsia="楷体"/>
                <w:bCs/>
              </w:rPr>
            </w:pPr>
          </w:p>
          <w:p w14:paraId="7FAB4D9C">
            <w:pPr>
              <w:rPr>
                <w:rFonts w:ascii="楷体" w:hAnsi="楷体" w:eastAsia="楷体"/>
                <w:bCs/>
              </w:rPr>
            </w:pPr>
          </w:p>
          <w:p w14:paraId="01A030BE">
            <w:pPr>
              <w:rPr>
                <w:rFonts w:ascii="楷体" w:hAnsi="楷体" w:eastAsia="楷体"/>
                <w:bCs/>
              </w:rPr>
            </w:pPr>
          </w:p>
          <w:p w14:paraId="3A5F194A">
            <w:pPr>
              <w:rPr>
                <w:rFonts w:ascii="楷体" w:hAnsi="楷体" w:eastAsia="楷体"/>
                <w:bCs/>
              </w:rPr>
            </w:pPr>
          </w:p>
          <w:p w14:paraId="43090C9A">
            <w:pPr>
              <w:rPr>
                <w:rFonts w:ascii="楷体" w:hAnsi="楷体" w:eastAsia="楷体"/>
                <w:bCs/>
              </w:rPr>
            </w:pPr>
          </w:p>
          <w:p w14:paraId="49F873CF">
            <w:pPr>
              <w:rPr>
                <w:rFonts w:ascii="楷体" w:hAnsi="楷体" w:eastAsia="楷体"/>
                <w:bCs/>
              </w:rPr>
            </w:pPr>
          </w:p>
          <w:p w14:paraId="29E7370B">
            <w:pPr>
              <w:rPr>
                <w:rFonts w:ascii="楷体" w:hAnsi="楷体" w:eastAsia="楷体"/>
                <w:bCs/>
              </w:rPr>
            </w:pPr>
          </w:p>
          <w:p w14:paraId="5E63F168">
            <w:pPr>
              <w:rPr>
                <w:rFonts w:ascii="楷体" w:hAnsi="楷体" w:eastAsia="楷体"/>
                <w:bCs/>
              </w:rPr>
            </w:pPr>
          </w:p>
          <w:p w14:paraId="2F1EF859">
            <w:pPr>
              <w:rPr>
                <w:rFonts w:ascii="楷体" w:hAnsi="楷体" w:eastAsia="楷体"/>
                <w:bCs/>
              </w:rPr>
            </w:pPr>
          </w:p>
          <w:p w14:paraId="06B6A252">
            <w:pPr>
              <w:rPr>
                <w:rFonts w:ascii="楷体" w:hAnsi="楷体" w:eastAsia="楷体"/>
                <w:bCs/>
              </w:rPr>
            </w:pPr>
          </w:p>
          <w:p w14:paraId="3230C193">
            <w:pPr>
              <w:rPr>
                <w:rFonts w:ascii="楷体" w:hAnsi="楷体" w:eastAsia="楷体"/>
                <w:bCs/>
              </w:rPr>
            </w:pPr>
          </w:p>
          <w:p w14:paraId="0AFF39ED">
            <w:pPr>
              <w:rPr>
                <w:rFonts w:ascii="楷体" w:hAnsi="楷体" w:eastAsia="楷体"/>
                <w:bCs/>
              </w:rPr>
            </w:pPr>
          </w:p>
          <w:p w14:paraId="10234BFF">
            <w:pPr>
              <w:rPr>
                <w:rFonts w:ascii="楷体" w:hAnsi="楷体" w:eastAsia="楷体"/>
                <w:bCs/>
              </w:rPr>
            </w:pPr>
          </w:p>
          <w:p w14:paraId="2AA23BAD">
            <w:pPr>
              <w:rPr>
                <w:rFonts w:ascii="楷体" w:hAnsi="楷体" w:eastAsia="楷体"/>
                <w:bCs/>
              </w:rPr>
            </w:pPr>
          </w:p>
          <w:p w14:paraId="54B08A08">
            <w:pPr>
              <w:rPr>
                <w:rFonts w:ascii="楷体" w:hAnsi="楷体" w:eastAsia="楷体"/>
                <w:bCs/>
              </w:rPr>
            </w:pPr>
          </w:p>
          <w:p w14:paraId="7C8B8DF0">
            <w:pPr>
              <w:rPr>
                <w:rFonts w:ascii="楷体" w:hAnsi="楷体" w:eastAsia="楷体"/>
                <w:bCs/>
              </w:rPr>
            </w:pPr>
          </w:p>
          <w:p w14:paraId="20798B7D">
            <w:pPr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教师要求学生熟练掌火灾的预防基础知识。并学会正确使用灭火器</w:t>
            </w:r>
          </w:p>
        </w:tc>
        <w:tc>
          <w:tcPr>
            <w:tcW w:w="1860" w:type="dxa"/>
            <w:gridSpan w:val="2"/>
          </w:tcPr>
          <w:p w14:paraId="44A08AC5">
            <w:pPr>
              <w:rPr>
                <w:rFonts w:ascii="楷体" w:hAnsi="楷体" w:eastAsia="楷体"/>
                <w:bCs/>
              </w:rPr>
            </w:pPr>
          </w:p>
          <w:p w14:paraId="60152FFC">
            <w:pPr>
              <w:rPr>
                <w:rFonts w:ascii="楷体" w:hAnsi="楷体" w:eastAsia="楷体"/>
                <w:bCs/>
              </w:rPr>
            </w:pPr>
          </w:p>
          <w:p w14:paraId="0EBB0380">
            <w:pPr>
              <w:rPr>
                <w:rFonts w:ascii="楷体" w:hAnsi="楷体" w:eastAsia="楷体"/>
                <w:bCs/>
              </w:rPr>
            </w:pPr>
          </w:p>
          <w:p w14:paraId="79347817">
            <w:pPr>
              <w:rPr>
                <w:rFonts w:ascii="楷体" w:hAnsi="楷体" w:eastAsia="楷体"/>
                <w:bCs/>
              </w:rPr>
            </w:pPr>
          </w:p>
          <w:p w14:paraId="2B2B6F4B">
            <w:pPr>
              <w:rPr>
                <w:rFonts w:ascii="楷体" w:hAnsi="楷体" w:eastAsia="楷体"/>
                <w:bCs/>
              </w:rPr>
            </w:pPr>
          </w:p>
          <w:p w14:paraId="13D51A5A">
            <w:pPr>
              <w:rPr>
                <w:rFonts w:ascii="楷体" w:hAnsi="楷体" w:eastAsia="楷体"/>
                <w:bCs/>
              </w:rPr>
            </w:pPr>
          </w:p>
          <w:p w14:paraId="0D532552">
            <w:pPr>
              <w:rPr>
                <w:rFonts w:ascii="楷体" w:hAnsi="楷体" w:eastAsia="楷体"/>
                <w:bCs/>
              </w:rPr>
            </w:pPr>
          </w:p>
          <w:p w14:paraId="5869440E">
            <w:pPr>
              <w:rPr>
                <w:rFonts w:ascii="楷体" w:hAnsi="楷体" w:eastAsia="楷体"/>
                <w:bCs/>
              </w:rPr>
            </w:pPr>
          </w:p>
          <w:p w14:paraId="434B0B7C">
            <w:pPr>
              <w:rPr>
                <w:rFonts w:ascii="楷体" w:hAnsi="楷体" w:eastAsia="楷体"/>
                <w:bCs/>
              </w:rPr>
            </w:pPr>
          </w:p>
          <w:p w14:paraId="08E6C813">
            <w:pPr>
              <w:rPr>
                <w:rFonts w:ascii="楷体" w:hAnsi="楷体" w:eastAsia="楷体"/>
                <w:bCs/>
              </w:rPr>
            </w:pPr>
          </w:p>
          <w:p w14:paraId="3756A078">
            <w:pPr>
              <w:rPr>
                <w:rFonts w:ascii="楷体" w:hAnsi="楷体" w:eastAsia="楷体"/>
                <w:bCs/>
              </w:rPr>
            </w:pPr>
          </w:p>
          <w:p w14:paraId="6C4920E8">
            <w:pPr>
              <w:rPr>
                <w:rFonts w:ascii="楷体" w:hAnsi="楷体" w:eastAsia="楷体"/>
                <w:bCs/>
              </w:rPr>
            </w:pPr>
          </w:p>
          <w:p w14:paraId="77EA5244">
            <w:pPr>
              <w:rPr>
                <w:rFonts w:ascii="楷体" w:hAnsi="楷体" w:eastAsia="楷体"/>
                <w:bCs/>
              </w:rPr>
            </w:pPr>
          </w:p>
          <w:p w14:paraId="03DCF70D">
            <w:pPr>
              <w:rPr>
                <w:rFonts w:ascii="楷体" w:hAnsi="楷体" w:eastAsia="楷体"/>
                <w:bCs/>
              </w:rPr>
            </w:pPr>
          </w:p>
          <w:p w14:paraId="3DF84041">
            <w:pPr>
              <w:rPr>
                <w:rFonts w:ascii="楷体" w:hAnsi="楷体" w:eastAsia="楷体"/>
                <w:bCs/>
              </w:rPr>
            </w:pPr>
          </w:p>
          <w:p w14:paraId="681DBFF4">
            <w:pPr>
              <w:rPr>
                <w:rFonts w:ascii="楷体" w:hAnsi="楷体" w:eastAsia="楷体"/>
                <w:bCs/>
              </w:rPr>
            </w:pPr>
          </w:p>
          <w:p w14:paraId="600CF1E2">
            <w:pPr>
              <w:rPr>
                <w:rFonts w:ascii="楷体" w:hAnsi="楷体" w:eastAsia="楷体"/>
                <w:bCs/>
              </w:rPr>
            </w:pPr>
          </w:p>
          <w:p w14:paraId="6DC79A9D">
            <w:pPr>
              <w:rPr>
                <w:rFonts w:ascii="楷体" w:hAnsi="楷体" w:eastAsia="楷体"/>
                <w:bCs/>
              </w:rPr>
            </w:pPr>
          </w:p>
          <w:p w14:paraId="6C594CCD">
            <w:pPr>
              <w:rPr>
                <w:rFonts w:ascii="楷体" w:hAnsi="楷体" w:eastAsia="楷体"/>
                <w:bCs/>
              </w:rPr>
            </w:pPr>
          </w:p>
          <w:p w14:paraId="1A4F858A">
            <w:pPr>
              <w:rPr>
                <w:rFonts w:ascii="楷体" w:hAnsi="楷体" w:eastAsia="楷体"/>
                <w:bCs/>
              </w:rPr>
            </w:pPr>
          </w:p>
          <w:p w14:paraId="3ECA55F2">
            <w:pPr>
              <w:rPr>
                <w:rFonts w:ascii="楷体" w:hAnsi="楷体" w:eastAsia="楷体"/>
                <w:bCs/>
              </w:rPr>
            </w:pPr>
          </w:p>
          <w:p w14:paraId="327C552D">
            <w:pPr>
              <w:rPr>
                <w:rFonts w:ascii="楷体" w:hAnsi="楷体" w:eastAsia="楷体"/>
                <w:bCs/>
              </w:rPr>
            </w:pPr>
          </w:p>
          <w:p w14:paraId="715B5D47">
            <w:pPr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学生交流，与老师互动，解答疑问。结合理论进行案列分析。</w:t>
            </w:r>
          </w:p>
        </w:tc>
        <w:tc>
          <w:tcPr>
            <w:tcW w:w="936" w:type="dxa"/>
          </w:tcPr>
          <w:p w14:paraId="42E18685">
            <w:pPr>
              <w:rPr>
                <w:rFonts w:ascii="楷体" w:hAnsi="楷体" w:eastAsia="楷体"/>
                <w:bCs/>
              </w:rPr>
            </w:pPr>
          </w:p>
          <w:p w14:paraId="5A66CEB6">
            <w:pPr>
              <w:rPr>
                <w:rFonts w:ascii="楷体" w:hAnsi="楷体" w:eastAsia="楷体"/>
                <w:bCs/>
              </w:rPr>
            </w:pPr>
          </w:p>
          <w:p w14:paraId="00CB2A36">
            <w:pPr>
              <w:rPr>
                <w:rFonts w:ascii="楷体" w:hAnsi="楷体" w:eastAsia="楷体"/>
                <w:bCs/>
              </w:rPr>
            </w:pPr>
          </w:p>
          <w:p w14:paraId="68B83717">
            <w:pPr>
              <w:rPr>
                <w:rFonts w:ascii="楷体" w:hAnsi="楷体" w:eastAsia="楷体"/>
                <w:bCs/>
              </w:rPr>
            </w:pPr>
          </w:p>
          <w:p w14:paraId="3F63A1FA">
            <w:pPr>
              <w:rPr>
                <w:rFonts w:ascii="楷体" w:hAnsi="楷体" w:eastAsia="楷体"/>
                <w:bCs/>
              </w:rPr>
            </w:pPr>
          </w:p>
          <w:p w14:paraId="57D11554">
            <w:pPr>
              <w:rPr>
                <w:rFonts w:ascii="楷体" w:hAnsi="楷体" w:eastAsia="楷体"/>
                <w:bCs/>
              </w:rPr>
            </w:pPr>
          </w:p>
          <w:p w14:paraId="4FC7E6FD">
            <w:pPr>
              <w:rPr>
                <w:rFonts w:ascii="楷体" w:hAnsi="楷体" w:eastAsia="楷体"/>
                <w:bCs/>
              </w:rPr>
            </w:pPr>
          </w:p>
          <w:p w14:paraId="68A2A599">
            <w:pPr>
              <w:rPr>
                <w:rFonts w:ascii="楷体" w:hAnsi="楷体" w:eastAsia="楷体"/>
                <w:bCs/>
              </w:rPr>
            </w:pPr>
          </w:p>
          <w:p w14:paraId="51A3F1AD">
            <w:pPr>
              <w:rPr>
                <w:rFonts w:ascii="楷体" w:hAnsi="楷体" w:eastAsia="楷体"/>
                <w:bCs/>
              </w:rPr>
            </w:pPr>
          </w:p>
          <w:p w14:paraId="3AAE9E1A">
            <w:pPr>
              <w:rPr>
                <w:rFonts w:ascii="楷体" w:hAnsi="楷体" w:eastAsia="楷体"/>
                <w:bCs/>
              </w:rPr>
            </w:pPr>
          </w:p>
          <w:p w14:paraId="1CC277C3">
            <w:pPr>
              <w:rPr>
                <w:rFonts w:ascii="楷体" w:hAnsi="楷体" w:eastAsia="楷体"/>
                <w:bCs/>
              </w:rPr>
            </w:pPr>
          </w:p>
          <w:p w14:paraId="75D6BD6F">
            <w:pPr>
              <w:rPr>
                <w:rFonts w:ascii="楷体" w:hAnsi="楷体" w:eastAsia="楷体"/>
                <w:bCs/>
              </w:rPr>
            </w:pPr>
          </w:p>
          <w:p w14:paraId="7413F26D">
            <w:pPr>
              <w:rPr>
                <w:rFonts w:ascii="楷体" w:hAnsi="楷体" w:eastAsia="楷体"/>
                <w:bCs/>
              </w:rPr>
            </w:pPr>
          </w:p>
          <w:p w14:paraId="0E527FDE">
            <w:pPr>
              <w:rPr>
                <w:rFonts w:ascii="楷体" w:hAnsi="楷体" w:eastAsia="楷体"/>
                <w:bCs/>
              </w:rPr>
            </w:pPr>
          </w:p>
          <w:p w14:paraId="45167960">
            <w:pPr>
              <w:rPr>
                <w:rFonts w:ascii="楷体" w:hAnsi="楷体" w:eastAsia="楷体"/>
                <w:bCs/>
              </w:rPr>
            </w:pPr>
          </w:p>
          <w:p w14:paraId="290EA74F">
            <w:pPr>
              <w:rPr>
                <w:rFonts w:ascii="楷体" w:hAnsi="楷体" w:eastAsia="楷体"/>
                <w:bCs/>
              </w:rPr>
            </w:pPr>
          </w:p>
          <w:p w14:paraId="5A2C18F3">
            <w:pPr>
              <w:rPr>
                <w:rFonts w:ascii="楷体" w:hAnsi="楷体" w:eastAsia="楷体"/>
                <w:bCs/>
              </w:rPr>
            </w:pPr>
          </w:p>
          <w:p w14:paraId="07634A89">
            <w:pPr>
              <w:rPr>
                <w:rFonts w:ascii="楷体" w:hAnsi="楷体" w:eastAsia="楷体"/>
                <w:bCs/>
              </w:rPr>
            </w:pPr>
          </w:p>
          <w:p w14:paraId="535774FC">
            <w:pPr>
              <w:rPr>
                <w:rFonts w:ascii="楷体" w:hAnsi="楷体" w:eastAsia="楷体"/>
                <w:bCs/>
              </w:rPr>
            </w:pPr>
          </w:p>
          <w:p w14:paraId="7ACE0BBB">
            <w:pPr>
              <w:rPr>
                <w:rFonts w:ascii="楷体" w:hAnsi="楷体" w:eastAsia="楷体"/>
                <w:bCs/>
              </w:rPr>
            </w:pPr>
          </w:p>
          <w:p w14:paraId="4788D950">
            <w:pPr>
              <w:rPr>
                <w:rFonts w:ascii="楷体" w:hAnsi="楷体" w:eastAsia="楷体"/>
                <w:bCs/>
              </w:rPr>
            </w:pPr>
          </w:p>
          <w:p w14:paraId="219E3F83">
            <w:pPr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提高学生对知识的记忆以及对出现的问题得以改正。</w:t>
            </w:r>
          </w:p>
        </w:tc>
      </w:tr>
      <w:tr w14:paraId="3F90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7E671C0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1DFD05E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3847527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1.常见事故及预防</w:t>
            </w:r>
          </w:p>
          <w:p w14:paraId="12E51F6F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 xml:space="preserve"> 失窃、割伤、跌伤、扭伤、烧烫伤、电击伤、停水、停电及停气</w:t>
            </w:r>
          </w:p>
          <w:p w14:paraId="259BDE23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2.食物中毒的预防</w:t>
            </w:r>
          </w:p>
          <w:p w14:paraId="046A12AF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3.常见灭火器材的使用</w:t>
            </w:r>
          </w:p>
        </w:tc>
        <w:tc>
          <w:tcPr>
            <w:tcW w:w="1370" w:type="dxa"/>
            <w:vAlign w:val="center"/>
          </w:tcPr>
          <w:p w14:paraId="51AE18CB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58B815D7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6C5DEEA1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10FA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8B511B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78D516F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23D73FD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完成测试题及练习册习题，以小组为单位上传到教学平台</w:t>
            </w:r>
          </w:p>
        </w:tc>
        <w:tc>
          <w:tcPr>
            <w:tcW w:w="1370" w:type="dxa"/>
            <w:vAlign w:val="center"/>
          </w:tcPr>
          <w:p w14:paraId="775E2CD8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860" w:type="dxa"/>
            <w:gridSpan w:val="2"/>
            <w:vAlign w:val="center"/>
          </w:tcPr>
          <w:p w14:paraId="5BA09475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5DED75DE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加深学生对技术操作印象。</w:t>
            </w:r>
          </w:p>
        </w:tc>
      </w:tr>
      <w:tr w14:paraId="1BA5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38690B1E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6AB862C3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1.餐饮部常见事故的预防与处置</w:t>
            </w:r>
          </w:p>
          <w:p w14:paraId="4A0AD172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2.食物中毒的预防与应急预案</w:t>
            </w:r>
          </w:p>
          <w:p w14:paraId="310E4782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3.餐饮部火灾的预防与应急预案</w:t>
            </w:r>
          </w:p>
        </w:tc>
      </w:tr>
      <w:tr w14:paraId="4A40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76" w:type="dxa"/>
            <w:vAlign w:val="center"/>
          </w:tcPr>
          <w:p w14:paraId="483C5D62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38C481C5">
            <w:pPr>
              <w:pStyle w:val="15"/>
              <w:ind w:left="420" w:firstLine="0" w:firstLineChars="0"/>
            </w:pPr>
          </w:p>
        </w:tc>
      </w:tr>
    </w:tbl>
    <w:p w14:paraId="0D7402E6">
      <w:pPr>
        <w:rPr>
          <w:sz w:val="28"/>
          <w:szCs w:val="32"/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E7F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E00F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6E00F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316A3">
    <w:pPr>
      <w:pStyle w:val="6"/>
      <w:pBdr>
        <w:bottom w:val="none" w:color="auto" w:sz="0" w:space="1"/>
      </w:pBdr>
      <w:jc w:val="right"/>
      <w:rPr>
        <w:rFonts w:ascii="楷体" w:hAnsi="楷体" w:eastAsia="楷体" w:cs="楷体"/>
        <w:sz w:val="21"/>
        <w:szCs w:val="21"/>
      </w:rPr>
    </w:pPr>
    <w:r>
      <w:rPr>
        <w:rFonts w:hint="eastAsia" w:ascii="楷体" w:hAnsi="楷体" w:eastAsia="楷体" w:cs="楷体"/>
        <w:sz w:val="21"/>
        <w:szCs w:val="21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0C7E24"/>
    <w:rsid w:val="00132D0D"/>
    <w:rsid w:val="00157729"/>
    <w:rsid w:val="00172A27"/>
    <w:rsid w:val="001C3C50"/>
    <w:rsid w:val="002012EF"/>
    <w:rsid w:val="00233313"/>
    <w:rsid w:val="0024060C"/>
    <w:rsid w:val="00246587"/>
    <w:rsid w:val="00263099"/>
    <w:rsid w:val="00285697"/>
    <w:rsid w:val="002A30BD"/>
    <w:rsid w:val="002D4C79"/>
    <w:rsid w:val="002F7592"/>
    <w:rsid w:val="00333F70"/>
    <w:rsid w:val="00362219"/>
    <w:rsid w:val="00375803"/>
    <w:rsid w:val="003A7670"/>
    <w:rsid w:val="003C39E4"/>
    <w:rsid w:val="003C78A6"/>
    <w:rsid w:val="003F2CF9"/>
    <w:rsid w:val="0043334C"/>
    <w:rsid w:val="00463542"/>
    <w:rsid w:val="00471F91"/>
    <w:rsid w:val="004876E2"/>
    <w:rsid w:val="004B58C9"/>
    <w:rsid w:val="004B6754"/>
    <w:rsid w:val="004D230C"/>
    <w:rsid w:val="004E2BB5"/>
    <w:rsid w:val="004F4898"/>
    <w:rsid w:val="00524913"/>
    <w:rsid w:val="00534D23"/>
    <w:rsid w:val="00542B9F"/>
    <w:rsid w:val="00546A11"/>
    <w:rsid w:val="005923DC"/>
    <w:rsid w:val="005C68F9"/>
    <w:rsid w:val="005C6D0D"/>
    <w:rsid w:val="005F4880"/>
    <w:rsid w:val="00614523"/>
    <w:rsid w:val="00631978"/>
    <w:rsid w:val="00656128"/>
    <w:rsid w:val="007114CA"/>
    <w:rsid w:val="00757571"/>
    <w:rsid w:val="007916B2"/>
    <w:rsid w:val="007C629C"/>
    <w:rsid w:val="007E439B"/>
    <w:rsid w:val="007F3E0E"/>
    <w:rsid w:val="007F7E59"/>
    <w:rsid w:val="00815B9E"/>
    <w:rsid w:val="00833772"/>
    <w:rsid w:val="008743E2"/>
    <w:rsid w:val="00882FE3"/>
    <w:rsid w:val="008A698E"/>
    <w:rsid w:val="008B5249"/>
    <w:rsid w:val="00926229"/>
    <w:rsid w:val="00945487"/>
    <w:rsid w:val="0096097E"/>
    <w:rsid w:val="009D7EED"/>
    <w:rsid w:val="009F5BCA"/>
    <w:rsid w:val="00A03D95"/>
    <w:rsid w:val="00A41DD9"/>
    <w:rsid w:val="00A70C1B"/>
    <w:rsid w:val="00AA685B"/>
    <w:rsid w:val="00AB31C5"/>
    <w:rsid w:val="00AC10CD"/>
    <w:rsid w:val="00B557D6"/>
    <w:rsid w:val="00B7734F"/>
    <w:rsid w:val="00B97813"/>
    <w:rsid w:val="00BE375D"/>
    <w:rsid w:val="00C065C8"/>
    <w:rsid w:val="00C30796"/>
    <w:rsid w:val="00C34471"/>
    <w:rsid w:val="00C36589"/>
    <w:rsid w:val="00C45929"/>
    <w:rsid w:val="00C57B93"/>
    <w:rsid w:val="00C77CF7"/>
    <w:rsid w:val="00C806FB"/>
    <w:rsid w:val="00C95616"/>
    <w:rsid w:val="00CC6A5B"/>
    <w:rsid w:val="00CD23AC"/>
    <w:rsid w:val="00CD2D27"/>
    <w:rsid w:val="00CD4733"/>
    <w:rsid w:val="00CF3898"/>
    <w:rsid w:val="00CF4EE9"/>
    <w:rsid w:val="00D3765A"/>
    <w:rsid w:val="00D67988"/>
    <w:rsid w:val="00DA5A88"/>
    <w:rsid w:val="00DB3180"/>
    <w:rsid w:val="00DE383C"/>
    <w:rsid w:val="00E0276A"/>
    <w:rsid w:val="00E34095"/>
    <w:rsid w:val="00E71A23"/>
    <w:rsid w:val="00E73A4D"/>
    <w:rsid w:val="00E91DB3"/>
    <w:rsid w:val="00EE363C"/>
    <w:rsid w:val="00EF79C0"/>
    <w:rsid w:val="00F26ABE"/>
    <w:rsid w:val="00F921A9"/>
    <w:rsid w:val="00F94535"/>
    <w:rsid w:val="00FD19ED"/>
    <w:rsid w:val="00FD2A1A"/>
    <w:rsid w:val="02D3651B"/>
    <w:rsid w:val="034445B5"/>
    <w:rsid w:val="0410611F"/>
    <w:rsid w:val="04873D3C"/>
    <w:rsid w:val="048F7035"/>
    <w:rsid w:val="07D478A0"/>
    <w:rsid w:val="085B2E69"/>
    <w:rsid w:val="09731EC5"/>
    <w:rsid w:val="09EF4DDA"/>
    <w:rsid w:val="0B753148"/>
    <w:rsid w:val="0CB83C29"/>
    <w:rsid w:val="0E0B4690"/>
    <w:rsid w:val="0F2A7D0D"/>
    <w:rsid w:val="0FBA106F"/>
    <w:rsid w:val="107453F4"/>
    <w:rsid w:val="10E10DC6"/>
    <w:rsid w:val="125735A8"/>
    <w:rsid w:val="127777A6"/>
    <w:rsid w:val="13816D08"/>
    <w:rsid w:val="14E72EA8"/>
    <w:rsid w:val="1B9E2247"/>
    <w:rsid w:val="1D37025D"/>
    <w:rsid w:val="1D9E652E"/>
    <w:rsid w:val="1E3E386E"/>
    <w:rsid w:val="1EC27FFB"/>
    <w:rsid w:val="1F2B5BA0"/>
    <w:rsid w:val="20083C64"/>
    <w:rsid w:val="25DE1BBE"/>
    <w:rsid w:val="26061FD1"/>
    <w:rsid w:val="26357304"/>
    <w:rsid w:val="273026C9"/>
    <w:rsid w:val="29233D8C"/>
    <w:rsid w:val="2A900D36"/>
    <w:rsid w:val="2B2C33CC"/>
    <w:rsid w:val="2B430715"/>
    <w:rsid w:val="2C057CA2"/>
    <w:rsid w:val="2C840FE5"/>
    <w:rsid w:val="2E701821"/>
    <w:rsid w:val="2ECE6548"/>
    <w:rsid w:val="2F1E7C61"/>
    <w:rsid w:val="2F3D35E7"/>
    <w:rsid w:val="2F776BDF"/>
    <w:rsid w:val="307757A0"/>
    <w:rsid w:val="32607DFF"/>
    <w:rsid w:val="3380163D"/>
    <w:rsid w:val="355B1AD5"/>
    <w:rsid w:val="355B5916"/>
    <w:rsid w:val="36432BB5"/>
    <w:rsid w:val="384635F3"/>
    <w:rsid w:val="389B393F"/>
    <w:rsid w:val="395A7356"/>
    <w:rsid w:val="39E11825"/>
    <w:rsid w:val="3A2D450E"/>
    <w:rsid w:val="3AA0523C"/>
    <w:rsid w:val="3B0D2012"/>
    <w:rsid w:val="3C7A332A"/>
    <w:rsid w:val="3D5278E3"/>
    <w:rsid w:val="3F0F2990"/>
    <w:rsid w:val="407F5E9B"/>
    <w:rsid w:val="40A84E4B"/>
    <w:rsid w:val="40C00B76"/>
    <w:rsid w:val="41BB22B3"/>
    <w:rsid w:val="4420119C"/>
    <w:rsid w:val="467F21AA"/>
    <w:rsid w:val="49492F43"/>
    <w:rsid w:val="4A325785"/>
    <w:rsid w:val="4A416002"/>
    <w:rsid w:val="4C2757BD"/>
    <w:rsid w:val="4E093099"/>
    <w:rsid w:val="4E4C55F8"/>
    <w:rsid w:val="4EDD6607"/>
    <w:rsid w:val="4F691C49"/>
    <w:rsid w:val="562B40FC"/>
    <w:rsid w:val="57B10631"/>
    <w:rsid w:val="59561490"/>
    <w:rsid w:val="597E4543"/>
    <w:rsid w:val="5B6836FC"/>
    <w:rsid w:val="5BF8066D"/>
    <w:rsid w:val="5C1D6295"/>
    <w:rsid w:val="5CFC234E"/>
    <w:rsid w:val="5DDB0D13"/>
    <w:rsid w:val="5DE522FA"/>
    <w:rsid w:val="5E783C56"/>
    <w:rsid w:val="5F2416E8"/>
    <w:rsid w:val="604069F6"/>
    <w:rsid w:val="60EF11EF"/>
    <w:rsid w:val="61483DB4"/>
    <w:rsid w:val="61FA7BCC"/>
    <w:rsid w:val="626522EB"/>
    <w:rsid w:val="64C4661B"/>
    <w:rsid w:val="65A45465"/>
    <w:rsid w:val="661C75BD"/>
    <w:rsid w:val="68897849"/>
    <w:rsid w:val="6B612728"/>
    <w:rsid w:val="6C11022F"/>
    <w:rsid w:val="6DA95225"/>
    <w:rsid w:val="6E380D0C"/>
    <w:rsid w:val="70FA499F"/>
    <w:rsid w:val="712612F0"/>
    <w:rsid w:val="7383441F"/>
    <w:rsid w:val="73BF0F89"/>
    <w:rsid w:val="759933EA"/>
    <w:rsid w:val="783D3B6F"/>
    <w:rsid w:val="7A684727"/>
    <w:rsid w:val="7A7204C7"/>
    <w:rsid w:val="7B5B40CA"/>
    <w:rsid w:val="7BB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5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C6CDD-8C14-40D9-BEE1-912E1DC0AD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9</Pages>
  <Words>4275</Words>
  <Characters>4403</Characters>
  <Lines>35</Lines>
  <Paragraphs>9</Paragraphs>
  <TotalTime>0</TotalTime>
  <ScaleCrop>false</ScaleCrop>
  <LinksUpToDate>false</LinksUpToDate>
  <CharactersWithSpaces>4406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